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9B" w:rsidRPr="005402AD" w:rsidRDefault="0065419B" w:rsidP="0065419B">
      <w:pPr>
        <w:rPr>
          <w:rFonts w:ascii="Arial Narrow" w:hAnsi="Arial Narrow"/>
          <w:b/>
        </w:rPr>
      </w:pPr>
    </w:p>
    <w:p w:rsidR="002442AE" w:rsidRDefault="0065419B" w:rsidP="0065419B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</w:rPr>
        <w:t xml:space="preserve">INIZIATIVE DI FORMAZIONE/AGGIORNAMENTO A CARATTERE REGIONALE </w:t>
      </w:r>
    </w:p>
    <w:p w:rsidR="00DF5820" w:rsidRPr="00666BF6" w:rsidRDefault="00DF5820" w:rsidP="002442AE">
      <w:pPr>
        <w:jc w:val="center"/>
        <w:rPr>
          <w:rFonts w:ascii="Arial Narrow" w:hAnsi="Arial Narrow"/>
          <w:b/>
          <w:u w:val="single"/>
        </w:rPr>
      </w:pPr>
      <w:r w:rsidRPr="00666BF6">
        <w:rPr>
          <w:rFonts w:ascii="Arial Narrow" w:hAnsi="Arial Narrow"/>
          <w:b/>
          <w:u w:val="single"/>
        </w:rPr>
        <w:t>RINNOVO RICONOSCIMENTO</w:t>
      </w:r>
    </w:p>
    <w:p w:rsidR="005402AD" w:rsidRDefault="0065419B" w:rsidP="0065419B">
      <w:pPr>
        <w:jc w:val="center"/>
        <w:rPr>
          <w:rFonts w:ascii="Arial Narrow" w:hAnsi="Arial Narrow"/>
          <w:b/>
        </w:rPr>
      </w:pPr>
      <w:bookmarkStart w:id="0" w:name="_GoBack"/>
      <w:bookmarkEnd w:id="0"/>
      <w:r w:rsidRPr="005402AD">
        <w:rPr>
          <w:rFonts w:ascii="Arial Narrow" w:hAnsi="Arial Narrow"/>
          <w:b/>
        </w:rPr>
        <w:t xml:space="preserve">ANNO SCOLASTICO  2017-2018 </w:t>
      </w:r>
    </w:p>
    <w:p w:rsidR="008B72A4" w:rsidRDefault="005402AD" w:rsidP="005402AD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  <w:noProof/>
          <w:lang w:eastAsia="it-IT"/>
        </w:rPr>
        <w:drawing>
          <wp:inline distT="0" distB="0" distL="0" distR="0" wp14:anchorId="47E61123" wp14:editId="1C6F9607">
            <wp:extent cx="614929" cy="633850"/>
            <wp:effectExtent l="0" t="0" r="0" b="0"/>
            <wp:docPr id="9" name="Picture 6" descr="Risultati immagini per regione campani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Risultati immagini per regione campani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52" cy="642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666BF6" w:rsidRPr="005402AD" w:rsidRDefault="00666BF6" w:rsidP="005402AD">
      <w:pPr>
        <w:jc w:val="center"/>
        <w:rPr>
          <w:rFonts w:ascii="Arial Narrow" w:hAnsi="Arial Narrow"/>
          <w:b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689"/>
        <w:gridCol w:w="4110"/>
        <w:gridCol w:w="2694"/>
        <w:gridCol w:w="2976"/>
        <w:gridCol w:w="2240"/>
      </w:tblGrid>
      <w:tr w:rsidR="002A2D2D" w:rsidRPr="003913DE" w:rsidTr="00D66E25">
        <w:tc>
          <w:tcPr>
            <w:tcW w:w="2689" w:type="dxa"/>
            <w:shd w:val="clear" w:color="auto" w:fill="E1FFFF"/>
          </w:tcPr>
          <w:p w:rsidR="0065419B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2D2D" w:rsidRDefault="003962EF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2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DENOMINAZIONE </w:t>
            </w:r>
          </w:p>
          <w:p w:rsidR="003962EF" w:rsidRPr="003962EF" w:rsidRDefault="003962EF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2EF">
              <w:rPr>
                <w:rFonts w:ascii="Times New Roman" w:hAnsi="Times New Roman" w:cs="Times New Roman"/>
                <w:b/>
                <w:sz w:val="16"/>
                <w:szCs w:val="16"/>
              </w:rPr>
              <w:t>ENTE</w:t>
            </w:r>
            <w:r w:rsidR="002A2D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ASSOCIAZIONE</w:t>
            </w:r>
          </w:p>
        </w:tc>
        <w:tc>
          <w:tcPr>
            <w:tcW w:w="4110" w:type="dxa"/>
            <w:shd w:val="clear" w:color="auto" w:fill="E1FFFF"/>
          </w:tcPr>
          <w:p w:rsidR="0065419B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3962EF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A2D2D">
              <w:rPr>
                <w:rFonts w:ascii="Times New Roman" w:hAnsi="Times New Roman" w:cs="Times New Roman"/>
                <w:b/>
                <w:sz w:val="20"/>
                <w:szCs w:val="20"/>
              </w:rPr>
              <w:t>TITOLO DELL’INIZIATIVA</w:t>
            </w:r>
          </w:p>
        </w:tc>
        <w:tc>
          <w:tcPr>
            <w:tcW w:w="2694" w:type="dxa"/>
            <w:shd w:val="clear" w:color="auto" w:fill="E1FFFF"/>
          </w:tcPr>
          <w:p w:rsidR="0065419B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AMBITO</w:t>
            </w:r>
          </w:p>
          <w:p w:rsidR="002A2D2D" w:rsidRPr="003913DE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TEMATICO</w:t>
            </w:r>
          </w:p>
        </w:tc>
        <w:tc>
          <w:tcPr>
            <w:tcW w:w="2976" w:type="dxa"/>
            <w:shd w:val="clear" w:color="auto" w:fill="E1FFFF"/>
          </w:tcPr>
          <w:p w:rsidR="0065419B" w:rsidRDefault="0065419B" w:rsidP="003962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3962EF" w:rsidRDefault="002A2D2D" w:rsidP="00396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A2D2D">
              <w:rPr>
                <w:rFonts w:ascii="Times New Roman" w:hAnsi="Times New Roman" w:cs="Times New Roman"/>
                <w:b/>
                <w:sz w:val="20"/>
                <w:szCs w:val="20"/>
              </w:rPr>
              <w:t>DOCENTI COINVOLTI</w:t>
            </w:r>
          </w:p>
        </w:tc>
        <w:tc>
          <w:tcPr>
            <w:tcW w:w="2240" w:type="dxa"/>
            <w:shd w:val="clear" w:color="auto" w:fill="E1FFFF"/>
          </w:tcPr>
          <w:p w:rsidR="003962EF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SVOLGIMENTO</w:t>
            </w:r>
          </w:p>
          <w:p w:rsidR="002A2D2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 MASSIMA</w:t>
            </w:r>
          </w:p>
          <w:p w:rsidR="00F53A99" w:rsidRDefault="00F53A99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29C6" w:rsidTr="000529C6">
        <w:tc>
          <w:tcPr>
            <w:tcW w:w="2689" w:type="dxa"/>
            <w:vMerge w:val="restart"/>
            <w:shd w:val="clear" w:color="auto" w:fill="FFFFFF" w:themeFill="background1"/>
          </w:tcPr>
          <w:p w:rsidR="000529C6" w:rsidRPr="00283BEF" w:rsidRDefault="000529C6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29C6" w:rsidRPr="00283BEF" w:rsidRDefault="000529C6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529C6" w:rsidRDefault="000529C6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BEF">
              <w:rPr>
                <w:rFonts w:ascii="Times New Roman" w:hAnsi="Times New Roman" w:cs="Times New Roman"/>
                <w:b/>
              </w:rPr>
              <w:t>ACIIEF</w:t>
            </w:r>
          </w:p>
          <w:p w:rsidR="000529C6" w:rsidRPr="00283BEF" w:rsidRDefault="000529C6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S.R.L.</w:t>
            </w:r>
          </w:p>
        </w:tc>
        <w:tc>
          <w:tcPr>
            <w:tcW w:w="4110" w:type="dxa"/>
            <w:shd w:val="clear" w:color="auto" w:fill="FFFFFF" w:themeFill="background1"/>
          </w:tcPr>
          <w:p w:rsidR="000529C6" w:rsidRPr="00D66E25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LIM a misura di scuola</w:t>
            </w:r>
          </w:p>
        </w:tc>
        <w:tc>
          <w:tcPr>
            <w:tcW w:w="2694" w:type="dxa"/>
            <w:shd w:val="clear" w:color="auto" w:fill="FFFFFF" w:themeFill="background1"/>
          </w:tcPr>
          <w:p w:rsidR="000529C6" w:rsidRPr="00A95676" w:rsidRDefault="000529C6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95676"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0529C6" w:rsidRPr="00A95676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529C6" w:rsidRPr="008B066F" w:rsidRDefault="000529C6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0529C6" w:rsidTr="000529C6">
        <w:tc>
          <w:tcPr>
            <w:tcW w:w="2689" w:type="dxa"/>
            <w:vMerge/>
            <w:shd w:val="clear" w:color="auto" w:fill="FFFFFF" w:themeFill="background1"/>
          </w:tcPr>
          <w:p w:rsidR="000529C6" w:rsidRPr="00283BEF" w:rsidRDefault="000529C6" w:rsidP="00FD66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:rsidR="000529C6" w:rsidRPr="00D66E25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Inglese B 1</w:t>
            </w:r>
          </w:p>
        </w:tc>
        <w:tc>
          <w:tcPr>
            <w:tcW w:w="2694" w:type="dxa"/>
            <w:shd w:val="clear" w:color="auto" w:fill="FFFFFF" w:themeFill="background1"/>
          </w:tcPr>
          <w:p w:rsidR="000529C6" w:rsidRPr="00A95676" w:rsidRDefault="000529C6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95676">
              <w:rPr>
                <w:rFonts w:ascii="Times New Roman" w:hAnsi="Times New Roman" w:cs="Times New Roman"/>
                <w:i/>
              </w:rPr>
              <w:t>Metodologie e attività laboratoriali</w:t>
            </w:r>
          </w:p>
        </w:tc>
        <w:tc>
          <w:tcPr>
            <w:tcW w:w="2976" w:type="dxa"/>
            <w:shd w:val="clear" w:color="auto" w:fill="FFFFFF" w:themeFill="background1"/>
          </w:tcPr>
          <w:p w:rsidR="000529C6" w:rsidRPr="00A95676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529C6" w:rsidRPr="008B066F" w:rsidRDefault="000529C6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0529C6" w:rsidTr="000529C6">
        <w:tc>
          <w:tcPr>
            <w:tcW w:w="2689" w:type="dxa"/>
            <w:vMerge/>
            <w:shd w:val="clear" w:color="auto" w:fill="FFFFFF" w:themeFill="background1"/>
          </w:tcPr>
          <w:p w:rsidR="000529C6" w:rsidRPr="00283BEF" w:rsidRDefault="000529C6" w:rsidP="00FD663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shd w:val="clear" w:color="auto" w:fill="FFFFFF" w:themeFill="background1"/>
          </w:tcPr>
          <w:p w:rsidR="000529C6" w:rsidRPr="00D66E25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Informatica di base</w:t>
            </w:r>
          </w:p>
        </w:tc>
        <w:tc>
          <w:tcPr>
            <w:tcW w:w="2694" w:type="dxa"/>
            <w:shd w:val="clear" w:color="auto" w:fill="FFFFFF" w:themeFill="background1"/>
          </w:tcPr>
          <w:p w:rsidR="000529C6" w:rsidRPr="00A95676" w:rsidRDefault="000529C6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95676"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0529C6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  <w:p w:rsidR="000529C6" w:rsidRPr="00A95676" w:rsidRDefault="000529C6" w:rsidP="00FD663B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shd w:val="clear" w:color="auto" w:fill="FFFFFF" w:themeFill="background1"/>
          </w:tcPr>
          <w:p w:rsidR="000529C6" w:rsidRPr="008B066F" w:rsidRDefault="000529C6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4D1ADA" w:rsidTr="004D1ADA">
        <w:tc>
          <w:tcPr>
            <w:tcW w:w="2689" w:type="dxa"/>
            <w:vMerge w:val="restart"/>
          </w:tcPr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BEF">
              <w:rPr>
                <w:rFonts w:ascii="Times New Roman" w:hAnsi="Times New Roman" w:cs="Times New Roman"/>
                <w:b/>
              </w:rPr>
              <w:t>DIPARIPASSO</w:t>
            </w:r>
          </w:p>
        </w:tc>
        <w:tc>
          <w:tcPr>
            <w:tcW w:w="4110" w:type="dxa"/>
          </w:tcPr>
          <w:p w:rsidR="004D1ADA" w:rsidRPr="00D66E25" w:rsidRDefault="004D1ADA" w:rsidP="00FD663B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Per una didattica orientata cognitivamente</w:t>
            </w:r>
          </w:p>
        </w:tc>
        <w:tc>
          <w:tcPr>
            <w:tcW w:w="2694" w:type="dxa"/>
          </w:tcPr>
          <w:p w:rsidR="004D1ADA" w:rsidRPr="005B0DDF" w:rsidRDefault="004D1ADA" w:rsidP="00FD663B">
            <w:pPr>
              <w:rPr>
                <w:rFonts w:ascii="Times New Roman" w:hAnsi="Times New Roman" w:cs="Times New Roman"/>
                <w:i/>
                <w:color w:val="FF0000"/>
              </w:rPr>
            </w:pPr>
            <w:r w:rsidRPr="005B0DDF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4D1ADA" w:rsidRPr="005B0DDF" w:rsidRDefault="004D1ADA" w:rsidP="00FD66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>Docenti di scuola primaria e di s</w:t>
            </w:r>
            <w:r>
              <w:rPr>
                <w:rFonts w:ascii="Times New Roman" w:hAnsi="Times New Roman" w:cs="Times New Roman"/>
                <w:color w:val="000000" w:themeColor="text1"/>
              </w:rPr>
              <w:t>cuola secondaria di primo grado</w:t>
            </w:r>
          </w:p>
        </w:tc>
        <w:tc>
          <w:tcPr>
            <w:tcW w:w="2240" w:type="dxa"/>
          </w:tcPr>
          <w:p w:rsidR="004D1ADA" w:rsidRPr="00B23900" w:rsidRDefault="004D1ADA" w:rsidP="00FD663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4D1ADA" w:rsidTr="004D1ADA">
        <w:tc>
          <w:tcPr>
            <w:tcW w:w="2689" w:type="dxa"/>
            <w:vMerge/>
          </w:tcPr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4D1ADA" w:rsidRPr="00550991" w:rsidRDefault="004D1ADA" w:rsidP="00FD663B">
            <w:pPr>
              <w:pStyle w:val="Paragrafoelenco"/>
              <w:numPr>
                <w:ilvl w:val="0"/>
                <w:numId w:val="10"/>
              </w:numPr>
              <w:ind w:left="0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Metodologie e tecniche per una scuola inclusiva</w:t>
            </w:r>
          </w:p>
        </w:tc>
        <w:tc>
          <w:tcPr>
            <w:tcW w:w="2694" w:type="dxa"/>
          </w:tcPr>
          <w:p w:rsidR="004D1ADA" w:rsidRPr="005B0DDF" w:rsidRDefault="004D1ADA" w:rsidP="00FD663B">
            <w:pPr>
              <w:rPr>
                <w:rFonts w:ascii="Times New Roman" w:hAnsi="Times New Roman" w:cs="Times New Roman"/>
                <w:i/>
              </w:rPr>
            </w:pPr>
            <w:r w:rsidRPr="005B0DDF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4D1ADA" w:rsidRPr="005B0DDF" w:rsidRDefault="004D1ADA" w:rsidP="00FD66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grado</w:t>
            </w:r>
          </w:p>
        </w:tc>
        <w:tc>
          <w:tcPr>
            <w:tcW w:w="2240" w:type="dxa"/>
          </w:tcPr>
          <w:p w:rsidR="004D1ADA" w:rsidRPr="00B23900" w:rsidRDefault="004D1ADA" w:rsidP="00FD663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D1ADA" w:rsidTr="004D1ADA">
        <w:tc>
          <w:tcPr>
            <w:tcW w:w="2689" w:type="dxa"/>
            <w:vMerge/>
          </w:tcPr>
          <w:p w:rsidR="004D1ADA" w:rsidRPr="00283BEF" w:rsidRDefault="004D1ADA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4D1ADA" w:rsidRDefault="004D1ADA" w:rsidP="00FD663B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283BEF">
              <w:rPr>
                <w:rFonts w:cstheme="minorHAnsi"/>
                <w:b/>
                <w:i/>
                <w:color w:val="002060"/>
                <w:sz w:val="24"/>
                <w:szCs w:val="24"/>
              </w:rPr>
              <w:t>Attività di promozione delle life skills all’interno delle attività curricolari della scuola</w:t>
            </w:r>
          </w:p>
          <w:p w:rsidR="00666BF6" w:rsidRDefault="00666BF6" w:rsidP="00FD663B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666BF6" w:rsidRPr="00283BEF" w:rsidRDefault="00666BF6" w:rsidP="00FD663B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4D1ADA" w:rsidRPr="005B0DDF" w:rsidRDefault="004D1ADA" w:rsidP="00FD663B">
            <w:pPr>
              <w:rPr>
                <w:rFonts w:ascii="Times New Roman" w:hAnsi="Times New Roman" w:cs="Times New Roman"/>
                <w:i/>
              </w:rPr>
            </w:pPr>
            <w:r w:rsidRPr="005B0DDF"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</w:tc>
        <w:tc>
          <w:tcPr>
            <w:tcW w:w="2976" w:type="dxa"/>
          </w:tcPr>
          <w:p w:rsidR="004D1ADA" w:rsidRPr="005B0DDF" w:rsidRDefault="004D1ADA" w:rsidP="00FD66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>Docenti di scuola secondaria di primo grado</w:t>
            </w:r>
          </w:p>
        </w:tc>
        <w:tc>
          <w:tcPr>
            <w:tcW w:w="2240" w:type="dxa"/>
          </w:tcPr>
          <w:p w:rsidR="004D1ADA" w:rsidRPr="00B23900" w:rsidRDefault="004D1ADA" w:rsidP="00FD663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2DF6" w:rsidTr="00D66E25">
        <w:tc>
          <w:tcPr>
            <w:tcW w:w="2689" w:type="dxa"/>
            <w:vMerge w:val="restart"/>
          </w:tcPr>
          <w:p w:rsidR="00342DF6" w:rsidRPr="000529C6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42DF6" w:rsidRPr="000529C6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529C6">
              <w:rPr>
                <w:rFonts w:ascii="Times New Roman" w:hAnsi="Times New Roman" w:cs="Times New Roman"/>
                <w:b/>
                <w:lang w:val="en-US"/>
              </w:rPr>
              <w:t>E. FOR. PRO.  S.R.L.</w:t>
            </w:r>
          </w:p>
        </w:tc>
        <w:tc>
          <w:tcPr>
            <w:tcW w:w="4110" w:type="dxa"/>
          </w:tcPr>
          <w:p w:rsidR="00342DF6" w:rsidRPr="00D66E25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Organizzazione e gestione del Pi</w:t>
            </w:r>
            <w:r w:rsidR="00DF5820">
              <w:rPr>
                <w:rFonts w:cstheme="minorHAnsi"/>
                <w:b/>
                <w:i/>
                <w:color w:val="002060"/>
                <w:sz w:val="24"/>
                <w:szCs w:val="24"/>
              </w:rPr>
              <w:t>ano annuale dell’inclusività</w:t>
            </w:r>
          </w:p>
        </w:tc>
        <w:tc>
          <w:tcPr>
            <w:tcW w:w="2694" w:type="dxa"/>
          </w:tcPr>
          <w:p w:rsidR="00342DF6" w:rsidRPr="003F11B5" w:rsidRDefault="00342DF6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3F11B5">
              <w:rPr>
                <w:rFonts w:ascii="Times New Roman" w:hAnsi="Times New Roman" w:cs="Times New Roman"/>
                <w:i/>
              </w:rPr>
              <w:t>Bisogni individuali e sociali dello studente</w:t>
            </w:r>
          </w:p>
        </w:tc>
        <w:tc>
          <w:tcPr>
            <w:tcW w:w="2976" w:type="dxa"/>
          </w:tcPr>
          <w:p w:rsidR="00342DF6" w:rsidRPr="003F11B5" w:rsidRDefault="00342DF6" w:rsidP="00342DF6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342DF6" w:rsidRPr="008B066F" w:rsidRDefault="00342DF6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D66E25">
        <w:tc>
          <w:tcPr>
            <w:tcW w:w="2689" w:type="dxa"/>
            <w:vMerge/>
          </w:tcPr>
          <w:p w:rsidR="00342DF6" w:rsidRPr="00283BEF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342DF6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Il docente tutor accogliente: ambiti operativi e </w:t>
            </w:r>
            <w:r w:rsidR="00DF5820">
              <w:rPr>
                <w:rFonts w:cstheme="minorHAnsi"/>
                <w:b/>
                <w:i/>
                <w:color w:val="002060"/>
                <w:sz w:val="24"/>
                <w:szCs w:val="24"/>
              </w:rPr>
              <w:t>funzionali</w:t>
            </w:r>
          </w:p>
          <w:p w:rsidR="00666BF6" w:rsidRPr="00D66E25" w:rsidRDefault="00666B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2DF6" w:rsidRPr="003F11B5" w:rsidRDefault="00342DF6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3F11B5"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</w:tc>
        <w:tc>
          <w:tcPr>
            <w:tcW w:w="2976" w:type="dxa"/>
          </w:tcPr>
          <w:p w:rsidR="00342DF6" w:rsidRPr="00396BBA" w:rsidRDefault="00342DF6" w:rsidP="00342DF6">
            <w:pPr>
              <w:autoSpaceDE w:val="0"/>
              <w:autoSpaceDN w:val="0"/>
              <w:adjustRightInd w:val="0"/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342DF6" w:rsidRPr="008B066F" w:rsidRDefault="00342DF6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C97032" w:rsidTr="00D66E25">
        <w:tc>
          <w:tcPr>
            <w:tcW w:w="2689" w:type="dxa"/>
            <w:vMerge w:val="restart"/>
          </w:tcPr>
          <w:p w:rsidR="00C97032" w:rsidRDefault="00C97032" w:rsidP="00DF58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97032" w:rsidRDefault="00C97032" w:rsidP="00DF582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97032" w:rsidRPr="00283BEF" w:rsidRDefault="00C97032" w:rsidP="00DF58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BEF">
              <w:rPr>
                <w:rFonts w:ascii="Times New Roman" w:hAnsi="Times New Roman" w:cs="Times New Roman"/>
                <w:b/>
              </w:rPr>
              <w:t>IRFO</w:t>
            </w:r>
          </w:p>
        </w:tc>
        <w:tc>
          <w:tcPr>
            <w:tcW w:w="4110" w:type="dxa"/>
          </w:tcPr>
          <w:p w:rsidR="00C97032" w:rsidRPr="004D1ADA" w:rsidRDefault="00C97032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4D1ADA">
              <w:rPr>
                <w:rFonts w:cs="Times New Roman"/>
                <w:b/>
                <w:i/>
                <w:color w:val="002060"/>
                <w:sz w:val="24"/>
                <w:szCs w:val="24"/>
              </w:rPr>
              <w:t>Lingua inglese “Base one” e approccio al metodo CLIL</w:t>
            </w:r>
          </w:p>
        </w:tc>
        <w:tc>
          <w:tcPr>
            <w:tcW w:w="2694" w:type="dxa"/>
          </w:tcPr>
          <w:p w:rsidR="00C97032" w:rsidRPr="004D1ADA" w:rsidRDefault="00C97032" w:rsidP="004D1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4D1ADA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C97032" w:rsidRDefault="00666BF6" w:rsidP="004D1A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C97032" w:rsidRDefault="00C97032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C97032" w:rsidTr="004D1ADA">
        <w:tc>
          <w:tcPr>
            <w:tcW w:w="2689" w:type="dxa"/>
            <w:vMerge/>
          </w:tcPr>
          <w:p w:rsidR="00C97032" w:rsidRPr="00283BEF" w:rsidRDefault="00C97032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C97032" w:rsidRPr="004D1ADA" w:rsidRDefault="00C97032" w:rsidP="00FD663B">
            <w:pPr>
              <w:rPr>
                <w:rFonts w:cs="Times New Roman"/>
                <w:b/>
                <w:i/>
                <w:color w:val="002060"/>
                <w:sz w:val="24"/>
                <w:szCs w:val="24"/>
              </w:rPr>
            </w:pPr>
            <w:r w:rsidRPr="004D1ADA">
              <w:rPr>
                <w:rFonts w:cs="Times New Roman"/>
                <w:b/>
                <w:i/>
                <w:color w:val="002060"/>
                <w:sz w:val="24"/>
                <w:szCs w:val="24"/>
              </w:rPr>
              <w:t>Lingua inglese “livello intermedio” ed approccio al metodo CLIL</w:t>
            </w:r>
          </w:p>
        </w:tc>
        <w:tc>
          <w:tcPr>
            <w:tcW w:w="2694" w:type="dxa"/>
          </w:tcPr>
          <w:p w:rsidR="00C97032" w:rsidRPr="004D1ADA" w:rsidRDefault="00C97032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4D1ADA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C97032" w:rsidRPr="00E6205D" w:rsidRDefault="00666BF6" w:rsidP="00FD663B">
            <w:pPr>
              <w:rPr>
                <w:rFonts w:ascii="Book Antiqua" w:hAnsi="Book Antiqua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C97032" w:rsidRDefault="00FD2310" w:rsidP="00FD6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C97032" w:rsidTr="004D1ADA">
        <w:tc>
          <w:tcPr>
            <w:tcW w:w="2689" w:type="dxa"/>
            <w:vMerge/>
          </w:tcPr>
          <w:p w:rsidR="00C97032" w:rsidRPr="00283BEF" w:rsidRDefault="00C97032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</w:tcPr>
          <w:p w:rsidR="00C97032" w:rsidRDefault="00C97032" w:rsidP="00FD663B">
            <w:pPr>
              <w:rPr>
                <w:rFonts w:cs="Times New Roman"/>
                <w:b/>
                <w:i/>
                <w:color w:val="002060"/>
                <w:sz w:val="24"/>
                <w:szCs w:val="24"/>
              </w:rPr>
            </w:pPr>
            <w:r w:rsidRPr="004D1ADA">
              <w:rPr>
                <w:rFonts w:cs="Times New Roman"/>
                <w:b/>
                <w:i/>
                <w:color w:val="002060"/>
                <w:sz w:val="24"/>
                <w:szCs w:val="24"/>
              </w:rPr>
              <w:t>Tutela e sicurezza sui luoghi di lavoro</w:t>
            </w:r>
          </w:p>
          <w:p w:rsidR="00C97032" w:rsidRPr="004D1ADA" w:rsidRDefault="00C97032" w:rsidP="00FD663B">
            <w:pPr>
              <w:rPr>
                <w:rFonts w:cs="Times New Roman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C97032" w:rsidRPr="00666BF6" w:rsidRDefault="00FD2310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666BF6">
              <w:rPr>
                <w:rFonts w:ascii="Times New Roman" w:hAnsi="Times New Roman" w:cs="Times New Roman"/>
                <w:i/>
              </w:rPr>
              <w:t>Tutela della sicurezza e salute nei luoghi di lavoro</w:t>
            </w:r>
          </w:p>
        </w:tc>
        <w:tc>
          <w:tcPr>
            <w:tcW w:w="2976" w:type="dxa"/>
          </w:tcPr>
          <w:p w:rsidR="00C97032" w:rsidRPr="00E6205D" w:rsidRDefault="00666BF6" w:rsidP="00FD663B">
            <w:pPr>
              <w:rPr>
                <w:rFonts w:ascii="Book Antiqua" w:hAnsi="Book Antiqua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C97032" w:rsidRDefault="00FD2310" w:rsidP="00FD6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C97032" w:rsidTr="00C97032">
        <w:tc>
          <w:tcPr>
            <w:tcW w:w="2689" w:type="dxa"/>
            <w:vMerge w:val="restart"/>
          </w:tcPr>
          <w:p w:rsidR="00C97032" w:rsidRDefault="00C97032" w:rsidP="00C9703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C97032" w:rsidRPr="00283BEF" w:rsidRDefault="00C97032" w:rsidP="00C970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BEF">
              <w:rPr>
                <w:rFonts w:ascii="Times New Roman" w:hAnsi="Times New Roman" w:cs="Times New Roman"/>
                <w:b/>
              </w:rPr>
              <w:t>IL LABORATORIO</w:t>
            </w:r>
          </w:p>
          <w:p w:rsidR="00C97032" w:rsidRPr="00283BEF" w:rsidRDefault="00C97032" w:rsidP="00C970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BEF">
              <w:rPr>
                <w:rFonts w:ascii="Times New Roman" w:hAnsi="Times New Roman" w:cs="Times New Roman"/>
                <w:b/>
              </w:rPr>
              <w:t>FORMAZIONE E CONSULENZE PER IL LAVORO SOCIALE</w:t>
            </w:r>
          </w:p>
          <w:p w:rsidR="00C97032" w:rsidRPr="00283BEF" w:rsidRDefault="00C97032" w:rsidP="00C970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3BEF">
              <w:rPr>
                <w:rFonts w:ascii="Times New Roman" w:hAnsi="Times New Roman" w:cs="Times New Roman"/>
                <w:b/>
              </w:rPr>
              <w:t>ONLUS</w:t>
            </w:r>
          </w:p>
        </w:tc>
        <w:tc>
          <w:tcPr>
            <w:tcW w:w="4110" w:type="dxa"/>
            <w:shd w:val="clear" w:color="auto" w:fill="auto"/>
          </w:tcPr>
          <w:p w:rsidR="00C97032" w:rsidRDefault="00C97032" w:rsidP="00FD663B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C97032" w:rsidRPr="00C97032" w:rsidRDefault="00C97032" w:rsidP="00FD663B">
            <w:pPr>
              <w:rPr>
                <w:rFonts w:cs="Times New Roman"/>
                <w:b/>
                <w:i/>
                <w:color w:val="002060"/>
                <w:sz w:val="24"/>
                <w:szCs w:val="24"/>
              </w:rPr>
            </w:pPr>
            <w:r w:rsidRPr="00C97032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comunicazione efficace per la costruzione di relazioni efficaci</w:t>
            </w:r>
          </w:p>
        </w:tc>
        <w:tc>
          <w:tcPr>
            <w:tcW w:w="2694" w:type="dxa"/>
          </w:tcPr>
          <w:p w:rsidR="00C97032" w:rsidRPr="00666BF6" w:rsidRDefault="00C97032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</w:p>
          <w:p w:rsidR="00C97032" w:rsidRPr="00666BF6" w:rsidRDefault="00C97032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666BF6">
              <w:rPr>
                <w:rFonts w:ascii="Times New Roman" w:hAnsi="Times New Roman" w:cs="Times New Roman"/>
                <w:i/>
              </w:rPr>
              <w:t>Gestione della classe e problematiche relazionali</w:t>
            </w:r>
          </w:p>
        </w:tc>
        <w:tc>
          <w:tcPr>
            <w:tcW w:w="2976" w:type="dxa"/>
          </w:tcPr>
          <w:p w:rsidR="00C97032" w:rsidRDefault="00C97032" w:rsidP="00FD663B">
            <w:pPr>
              <w:rPr>
                <w:rFonts w:ascii="Times New Roman" w:hAnsi="Times New Roman" w:cs="Times New Roman"/>
              </w:rPr>
            </w:pPr>
          </w:p>
          <w:p w:rsidR="00C97032" w:rsidRDefault="00C97032" w:rsidP="00FD663B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>di scuola primaria e secondaria di primo grado</w:t>
            </w:r>
          </w:p>
        </w:tc>
        <w:tc>
          <w:tcPr>
            <w:tcW w:w="2240" w:type="dxa"/>
          </w:tcPr>
          <w:p w:rsidR="00C97032" w:rsidRDefault="00C97032" w:rsidP="00FD663B">
            <w:pPr>
              <w:rPr>
                <w:rFonts w:ascii="Times New Roman" w:hAnsi="Times New Roman" w:cs="Times New Roman"/>
              </w:rPr>
            </w:pPr>
          </w:p>
          <w:p w:rsidR="00C97032" w:rsidRDefault="00C97032" w:rsidP="00FD6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C97032" w:rsidTr="00C97032">
        <w:tc>
          <w:tcPr>
            <w:tcW w:w="2689" w:type="dxa"/>
            <w:vMerge/>
          </w:tcPr>
          <w:p w:rsidR="00C97032" w:rsidRPr="00283BEF" w:rsidRDefault="00C97032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0" w:type="dxa"/>
            <w:shd w:val="clear" w:color="auto" w:fill="auto"/>
          </w:tcPr>
          <w:p w:rsidR="00C97032" w:rsidRPr="00C97032" w:rsidRDefault="00C97032" w:rsidP="00FD663B">
            <w:pPr>
              <w:rPr>
                <w:rFonts w:cs="Times New Roman"/>
                <w:b/>
                <w:i/>
                <w:color w:val="002060"/>
                <w:sz w:val="24"/>
                <w:szCs w:val="24"/>
              </w:rPr>
            </w:pPr>
            <w:r w:rsidRPr="00C97032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relazione educativa e gli stili educativi letti attraverso le metafore delle favole</w:t>
            </w:r>
          </w:p>
        </w:tc>
        <w:tc>
          <w:tcPr>
            <w:tcW w:w="2694" w:type="dxa"/>
          </w:tcPr>
          <w:p w:rsidR="00C97032" w:rsidRPr="00666BF6" w:rsidRDefault="00C97032" w:rsidP="00FD66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666BF6">
              <w:rPr>
                <w:rFonts w:ascii="Times New Roman" w:hAnsi="Times New Roman" w:cs="Times New Roman"/>
                <w:i/>
              </w:rPr>
              <w:t>Metodologie e attività laboratoriali</w:t>
            </w:r>
          </w:p>
        </w:tc>
        <w:tc>
          <w:tcPr>
            <w:tcW w:w="2976" w:type="dxa"/>
          </w:tcPr>
          <w:p w:rsidR="00C97032" w:rsidRPr="00E6205D" w:rsidRDefault="00C97032" w:rsidP="00FD663B">
            <w:pPr>
              <w:rPr>
                <w:rFonts w:ascii="Book Antiqua" w:hAnsi="Book Antiqua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</w:rPr>
              <w:t>Docenti di scuola dell’infanzia</w:t>
            </w:r>
          </w:p>
        </w:tc>
        <w:tc>
          <w:tcPr>
            <w:tcW w:w="2240" w:type="dxa"/>
          </w:tcPr>
          <w:p w:rsidR="00C97032" w:rsidRDefault="00C97032" w:rsidP="00FD6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</w:tbl>
    <w:p w:rsidR="008B72A4" w:rsidRDefault="008B72A4">
      <w:pPr>
        <w:rPr>
          <w:rFonts w:ascii="Times New Roman" w:hAnsi="Times New Roman" w:cs="Times New Roman"/>
        </w:rPr>
      </w:pPr>
    </w:p>
    <w:p w:rsidR="003F11B5" w:rsidRDefault="003F11B5">
      <w:pPr>
        <w:rPr>
          <w:rFonts w:ascii="Times New Roman" w:hAnsi="Times New Roman" w:cs="Times New Roman"/>
        </w:rPr>
      </w:pPr>
    </w:p>
    <w:p w:rsidR="0084726F" w:rsidRDefault="0084726F" w:rsidP="0084726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Si ricorda che la Direttiva ministeriale n.170/2016 ha introdotto modifiche circa le modalità e la tempistica per richiedere il riconoscimento dei corsi di formazione in oggetto. Le informazioni a</w:t>
      </w:r>
      <w:r w:rsidR="00666BF6">
        <w:rPr>
          <w:rFonts w:ascii="Times New Roman" w:hAnsi="Times New Roman" w:cs="Times New Roman"/>
          <w:sz w:val="20"/>
          <w:szCs w:val="20"/>
        </w:rPr>
        <w:t>l</w:t>
      </w:r>
      <w:r>
        <w:rPr>
          <w:rFonts w:ascii="Times New Roman" w:hAnsi="Times New Roman" w:cs="Times New Roman"/>
          <w:sz w:val="20"/>
          <w:szCs w:val="20"/>
        </w:rPr>
        <w:t xml:space="preserve"> riguardo nonché la diffusione delle iniziative di formazione riconosciute saranno assicurate tramite il link dedicato del sito istituzionale di questo Ufficio. </w:t>
      </w:r>
    </w:p>
    <w:p w:rsidR="00E6205D" w:rsidRPr="008B72A4" w:rsidRDefault="00E6205D" w:rsidP="0084726F">
      <w:pPr>
        <w:rPr>
          <w:rFonts w:ascii="Times New Roman" w:hAnsi="Times New Roman" w:cs="Times New Roman"/>
        </w:rPr>
      </w:pPr>
    </w:p>
    <w:sectPr w:rsidR="00E6205D" w:rsidRPr="008B72A4" w:rsidSect="003962EF">
      <w:head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C37" w:rsidRDefault="00347C37" w:rsidP="0065419B">
      <w:pPr>
        <w:spacing w:after="0" w:line="240" w:lineRule="auto"/>
      </w:pPr>
      <w:r>
        <w:separator/>
      </w:r>
    </w:p>
  </w:endnote>
  <w:endnote w:type="continuationSeparator" w:id="0">
    <w:p w:rsidR="00347C37" w:rsidRDefault="00347C37" w:rsidP="00654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C37" w:rsidRDefault="00347C37" w:rsidP="0065419B">
      <w:pPr>
        <w:spacing w:after="0" w:line="240" w:lineRule="auto"/>
      </w:pPr>
      <w:r>
        <w:separator/>
      </w:r>
    </w:p>
  </w:footnote>
  <w:footnote w:type="continuationSeparator" w:id="0">
    <w:p w:rsidR="00347C37" w:rsidRDefault="00347C37" w:rsidP="00654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19B" w:rsidRDefault="00DF5820">
    <w:pPr>
      <w:pStyle w:val="Intestazione"/>
    </w:pPr>
    <w:r>
      <w:t>ALLEGATO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B8D"/>
    <w:multiLevelType w:val="hybridMultilevel"/>
    <w:tmpl w:val="BA0E43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09E2"/>
    <w:multiLevelType w:val="hybridMultilevel"/>
    <w:tmpl w:val="3990DA9A"/>
    <w:lvl w:ilvl="0" w:tplc="FEDCC89E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4245"/>
    <w:multiLevelType w:val="hybridMultilevel"/>
    <w:tmpl w:val="FBBE35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E0C7E"/>
    <w:multiLevelType w:val="hybridMultilevel"/>
    <w:tmpl w:val="3BC45E5C"/>
    <w:lvl w:ilvl="0" w:tplc="19F67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F7097"/>
    <w:multiLevelType w:val="hybridMultilevel"/>
    <w:tmpl w:val="185A77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C2291"/>
    <w:multiLevelType w:val="hybridMultilevel"/>
    <w:tmpl w:val="8B7A5C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E4880"/>
    <w:multiLevelType w:val="hybridMultilevel"/>
    <w:tmpl w:val="0074C6F8"/>
    <w:lvl w:ilvl="0" w:tplc="D1AC3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46B21"/>
    <w:multiLevelType w:val="hybridMultilevel"/>
    <w:tmpl w:val="01AC5E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A3BB1"/>
    <w:multiLevelType w:val="hybridMultilevel"/>
    <w:tmpl w:val="41527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00B06"/>
    <w:multiLevelType w:val="hybridMultilevel"/>
    <w:tmpl w:val="28665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0557E"/>
    <w:multiLevelType w:val="hybridMultilevel"/>
    <w:tmpl w:val="D3B2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E3305"/>
    <w:multiLevelType w:val="hybridMultilevel"/>
    <w:tmpl w:val="248C7D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2649E"/>
    <w:multiLevelType w:val="multilevel"/>
    <w:tmpl w:val="767E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A4"/>
    <w:rsid w:val="000529C6"/>
    <w:rsid w:val="000A7293"/>
    <w:rsid w:val="00123608"/>
    <w:rsid w:val="00181E4C"/>
    <w:rsid w:val="00203B77"/>
    <w:rsid w:val="002442AE"/>
    <w:rsid w:val="00283BEF"/>
    <w:rsid w:val="002A2D2D"/>
    <w:rsid w:val="002A7201"/>
    <w:rsid w:val="002D43CD"/>
    <w:rsid w:val="0032102C"/>
    <w:rsid w:val="0032213E"/>
    <w:rsid w:val="003258CF"/>
    <w:rsid w:val="003345A8"/>
    <w:rsid w:val="00342DF6"/>
    <w:rsid w:val="00347C37"/>
    <w:rsid w:val="003913DE"/>
    <w:rsid w:val="003962EF"/>
    <w:rsid w:val="00396BBA"/>
    <w:rsid w:val="003E1FA1"/>
    <w:rsid w:val="003F11B5"/>
    <w:rsid w:val="00401306"/>
    <w:rsid w:val="004D1ADA"/>
    <w:rsid w:val="005402AD"/>
    <w:rsid w:val="00545ADF"/>
    <w:rsid w:val="005B0DDF"/>
    <w:rsid w:val="005D4F2C"/>
    <w:rsid w:val="005D5E54"/>
    <w:rsid w:val="0060204C"/>
    <w:rsid w:val="006105A5"/>
    <w:rsid w:val="00614F3D"/>
    <w:rsid w:val="0065419B"/>
    <w:rsid w:val="00666BF6"/>
    <w:rsid w:val="006E2A52"/>
    <w:rsid w:val="00715DAF"/>
    <w:rsid w:val="007B2627"/>
    <w:rsid w:val="0084726F"/>
    <w:rsid w:val="008A6CE1"/>
    <w:rsid w:val="008B066F"/>
    <w:rsid w:val="008B72A4"/>
    <w:rsid w:val="008F3DC8"/>
    <w:rsid w:val="00943C0B"/>
    <w:rsid w:val="009D03E8"/>
    <w:rsid w:val="00A95676"/>
    <w:rsid w:val="00A967D3"/>
    <w:rsid w:val="00B23900"/>
    <w:rsid w:val="00B71F0D"/>
    <w:rsid w:val="00BB6130"/>
    <w:rsid w:val="00BD7764"/>
    <w:rsid w:val="00BF20D7"/>
    <w:rsid w:val="00C52D44"/>
    <w:rsid w:val="00C67578"/>
    <w:rsid w:val="00C706B4"/>
    <w:rsid w:val="00C91362"/>
    <w:rsid w:val="00C97032"/>
    <w:rsid w:val="00CA5742"/>
    <w:rsid w:val="00D01CC0"/>
    <w:rsid w:val="00D66E25"/>
    <w:rsid w:val="00DF5820"/>
    <w:rsid w:val="00E61BB9"/>
    <w:rsid w:val="00E6205D"/>
    <w:rsid w:val="00E92267"/>
    <w:rsid w:val="00EC024C"/>
    <w:rsid w:val="00EC168A"/>
    <w:rsid w:val="00F322D0"/>
    <w:rsid w:val="00F36450"/>
    <w:rsid w:val="00F53A99"/>
    <w:rsid w:val="00F71CD7"/>
    <w:rsid w:val="00F94EBA"/>
    <w:rsid w:val="00FD2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url?url=http://www.haccpservice.it/index.php/haccp-regionale/&amp;rct=j&amp;frm=1&amp;q=&amp;esrc=s&amp;sa=U&amp;ved=0ahUKEwjVqMmUqvjOAhUNrRQKHT1mAJo4PBDBbgggMAU&amp;usg=AFQjCNGLZhf_tTD4faaeF6UEJSTumtuqt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2017-07-31T13:00:00Z</cp:lastPrinted>
  <dcterms:created xsi:type="dcterms:W3CDTF">2017-08-04T08:49:00Z</dcterms:created>
  <dcterms:modified xsi:type="dcterms:W3CDTF">2017-08-04T08:49:00Z</dcterms:modified>
</cp:coreProperties>
</file>